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0CD2" w:rsidRDefault="00E83B76" w:rsidP="00F47B13">
      <w:pPr>
        <w:jc w:val="center"/>
        <w:rPr>
          <w:rFonts w:ascii="宋体" w:eastAsia="宋体" w:hAnsi="宋体"/>
          <w:b/>
          <w:sz w:val="36"/>
          <w:szCs w:val="36"/>
        </w:rPr>
      </w:pPr>
      <w:r w:rsidRPr="00E83B76">
        <w:rPr>
          <w:rFonts w:ascii="宋体" w:eastAsia="宋体" w:hAnsi="宋体" w:hint="eastAsia"/>
          <w:b/>
          <w:sz w:val="36"/>
          <w:szCs w:val="36"/>
        </w:rPr>
        <w:t>报价单</w:t>
      </w:r>
    </w:p>
    <w:p w:rsidR="00CC3FA3" w:rsidRPr="00E83B76" w:rsidRDefault="00CC3FA3" w:rsidP="00E83B76">
      <w:pPr>
        <w:jc w:val="center"/>
        <w:rPr>
          <w:rFonts w:ascii="宋体" w:eastAsia="宋体" w:hAnsi="宋体"/>
          <w:b/>
          <w:sz w:val="36"/>
          <w:szCs w:val="36"/>
        </w:rPr>
      </w:pPr>
    </w:p>
    <w:p w:rsidR="00A438F8" w:rsidRPr="00F814DF" w:rsidRDefault="00A438F8" w:rsidP="00A438F8">
      <w:pPr>
        <w:spacing w:line="360" w:lineRule="exact"/>
        <w:jc w:val="left"/>
        <w:rPr>
          <w:rFonts w:ascii="宋体" w:eastAsia="黑体" w:hAnsi="宋体" w:cs="Times New Roman"/>
          <w:bCs/>
          <w:sz w:val="24"/>
          <w:szCs w:val="24"/>
          <w:lang w:val="x-none"/>
        </w:rPr>
      </w:pPr>
      <w:r w:rsidRPr="00F814DF">
        <w:rPr>
          <w:rFonts w:ascii="宋体" w:eastAsia="黑体" w:hAnsi="宋体" w:cs="Times New Roman" w:hint="eastAsia"/>
          <w:bCs/>
          <w:sz w:val="24"/>
          <w:szCs w:val="24"/>
          <w:lang w:val="x-none"/>
        </w:rPr>
        <w:t>合同总金额上限：含税价格【</w:t>
      </w:r>
      <w:r w:rsidR="00F57A8A" w:rsidRPr="00F57A8A">
        <w:rPr>
          <w:rFonts w:ascii="宋体" w:eastAsia="黑体" w:hAnsi="宋体" w:cs="Times New Roman"/>
          <w:bCs/>
          <w:sz w:val="24"/>
          <w:szCs w:val="24"/>
          <w:lang w:val="x-none"/>
        </w:rPr>
        <w:t>1</w:t>
      </w:r>
      <w:r w:rsidR="00F57A8A">
        <w:rPr>
          <w:rFonts w:ascii="宋体" w:eastAsia="黑体" w:hAnsi="宋体" w:cs="Times New Roman"/>
          <w:bCs/>
          <w:sz w:val="24"/>
          <w:szCs w:val="24"/>
          <w:lang w:val="x-none"/>
        </w:rPr>
        <w:t>,</w:t>
      </w:r>
      <w:r w:rsidR="00F57A8A" w:rsidRPr="00F57A8A">
        <w:rPr>
          <w:rFonts w:ascii="宋体" w:eastAsia="黑体" w:hAnsi="宋体" w:cs="Times New Roman"/>
          <w:bCs/>
          <w:sz w:val="24"/>
          <w:szCs w:val="24"/>
          <w:lang w:val="x-none"/>
        </w:rPr>
        <w:t>068</w:t>
      </w:r>
      <w:r w:rsidR="00F57A8A">
        <w:rPr>
          <w:rFonts w:ascii="宋体" w:eastAsia="黑体" w:hAnsi="宋体" w:cs="Times New Roman"/>
          <w:bCs/>
          <w:sz w:val="24"/>
          <w:szCs w:val="24"/>
          <w:lang w:val="x-none"/>
        </w:rPr>
        <w:t>,</w:t>
      </w:r>
      <w:r w:rsidR="00F57A8A" w:rsidRPr="00F57A8A">
        <w:rPr>
          <w:rFonts w:ascii="宋体" w:eastAsia="黑体" w:hAnsi="宋体" w:cs="Times New Roman"/>
          <w:bCs/>
          <w:sz w:val="24"/>
          <w:szCs w:val="24"/>
          <w:lang w:val="x-none"/>
        </w:rPr>
        <w:t>867.92</w:t>
      </w:r>
      <w:r w:rsidRPr="00F814DF">
        <w:rPr>
          <w:rFonts w:ascii="宋体" w:eastAsia="黑体" w:hAnsi="宋体" w:cs="Times New Roman" w:hint="eastAsia"/>
          <w:bCs/>
          <w:sz w:val="24"/>
          <w:szCs w:val="24"/>
          <w:lang w:val="x-none"/>
        </w:rPr>
        <w:t>】元，增值税</w:t>
      </w:r>
      <w:r w:rsidRPr="00F814DF">
        <w:rPr>
          <w:rFonts w:ascii="宋体" w:eastAsia="黑体" w:hAnsi="宋体" w:cs="Times New Roman"/>
          <w:bCs/>
          <w:sz w:val="24"/>
          <w:szCs w:val="24"/>
          <w:lang w:val="x-none"/>
        </w:rPr>
        <w:t>率【</w:t>
      </w:r>
      <w:r w:rsidR="006A705D">
        <w:rPr>
          <w:rFonts w:ascii="宋体" w:eastAsia="黑体" w:hAnsi="宋体" w:cs="Times New Roman"/>
          <w:bCs/>
          <w:sz w:val="24"/>
          <w:szCs w:val="24"/>
          <w:lang w:val="x-none"/>
        </w:rPr>
        <w:t>3</w:t>
      </w:r>
      <w:r w:rsidRPr="00F814DF">
        <w:rPr>
          <w:rFonts w:ascii="宋体" w:eastAsia="黑体" w:hAnsi="宋体" w:cs="Times New Roman" w:hint="eastAsia"/>
          <w:bCs/>
          <w:sz w:val="24"/>
          <w:szCs w:val="24"/>
          <w:lang w:val="x-none"/>
        </w:rPr>
        <w:t>%</w:t>
      </w:r>
      <w:r w:rsidRPr="00F814DF">
        <w:rPr>
          <w:rFonts w:ascii="宋体" w:eastAsia="黑体" w:hAnsi="宋体" w:cs="Times New Roman"/>
          <w:bCs/>
          <w:sz w:val="24"/>
          <w:szCs w:val="24"/>
          <w:lang w:val="x-none"/>
        </w:rPr>
        <w:t>】</w:t>
      </w:r>
      <w:r w:rsidRPr="00F814DF">
        <w:rPr>
          <w:rFonts w:ascii="宋体" w:eastAsia="黑体" w:hAnsi="宋体" w:cs="Times New Roman" w:hint="eastAsia"/>
          <w:bCs/>
          <w:sz w:val="24"/>
          <w:szCs w:val="24"/>
          <w:lang w:val="x-none"/>
        </w:rPr>
        <w:t>。</w:t>
      </w:r>
    </w:p>
    <w:p w:rsidR="00901F1C" w:rsidRPr="00AC360D" w:rsidRDefault="00901F1C" w:rsidP="00901F1C">
      <w:pPr>
        <w:pStyle w:val="ac"/>
        <w:spacing w:line="380" w:lineRule="exact"/>
        <w:rPr>
          <w:rFonts w:ascii="宋体" w:hAnsi="宋体"/>
          <w:kern w:val="2"/>
          <w:lang w:eastAsia="zh-CN"/>
        </w:rPr>
      </w:pPr>
    </w:p>
    <w:p w:rsidR="00901F1C" w:rsidRPr="00AC360D" w:rsidRDefault="00901F1C" w:rsidP="00901F1C">
      <w:pPr>
        <w:pStyle w:val="2"/>
        <w:spacing w:before="0" w:after="0" w:line="380" w:lineRule="exact"/>
        <w:rPr>
          <w:rFonts w:ascii="宋体" w:hAnsi="宋体" w:cs="Verdana"/>
          <w:i w:val="0"/>
          <w:iCs w:val="0"/>
          <w:sz w:val="24"/>
          <w:szCs w:val="24"/>
        </w:rPr>
      </w:pPr>
      <w:bookmarkStart w:id="0" w:name="_Toc534898640"/>
      <w:bookmarkStart w:id="1" w:name="_Toc242095453"/>
      <w:r w:rsidRPr="00AC360D">
        <w:rPr>
          <w:rFonts w:ascii="宋体" w:hAnsi="宋体"/>
          <w:i w:val="0"/>
          <w:sz w:val="24"/>
          <w:szCs w:val="24"/>
        </w:rPr>
        <w:t>附件一：服务岗位价格明细</w:t>
      </w:r>
      <w:bookmarkEnd w:id="0"/>
    </w:p>
    <w:bookmarkEnd w:id="1"/>
    <w:p w:rsidR="00901F1C" w:rsidRPr="00AC360D" w:rsidRDefault="00901F1C" w:rsidP="00901F1C">
      <w:pPr>
        <w:autoSpaceDE w:val="0"/>
        <w:autoSpaceDN w:val="0"/>
        <w:adjustRightInd w:val="0"/>
        <w:spacing w:line="380" w:lineRule="exact"/>
        <w:jc w:val="left"/>
        <w:rPr>
          <w:rFonts w:ascii="宋体" w:hAnsi="宋体" w:cs="宋体"/>
          <w:sz w:val="24"/>
        </w:rPr>
      </w:pPr>
    </w:p>
    <w:tbl>
      <w:tblPr>
        <w:tblW w:w="6394" w:type="dxa"/>
        <w:tblInd w:w="1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396"/>
        <w:gridCol w:w="1843"/>
        <w:gridCol w:w="1417"/>
      </w:tblGrid>
      <w:tr w:rsidR="00BC2576" w:rsidTr="00BF25CE">
        <w:trPr>
          <w:trHeight w:val="494"/>
        </w:trPr>
        <w:tc>
          <w:tcPr>
            <w:tcW w:w="738" w:type="dxa"/>
            <w:shd w:val="clear" w:color="000000" w:fill="C0C0C0"/>
            <w:vAlign w:val="center"/>
          </w:tcPr>
          <w:p w:rsidR="00BC2576" w:rsidRDefault="00BC2576" w:rsidP="00BF25CE">
            <w:pPr>
              <w:widowControl/>
              <w:spacing w:line="380" w:lineRule="exact"/>
              <w:jc w:val="center"/>
              <w:rPr>
                <w:rFonts w:ascii="宋体" w:hAnsi="宋体" w:cs="Verdana"/>
                <w:bCs/>
                <w:kern w:val="0"/>
                <w:sz w:val="24"/>
              </w:rPr>
            </w:pPr>
            <w:bookmarkStart w:id="2" w:name="OLE_LINK1"/>
            <w:r>
              <w:rPr>
                <w:rFonts w:ascii="宋体" w:hAnsi="宋体" w:cs="Verdana" w:hint="eastAsia"/>
                <w:bCs/>
                <w:kern w:val="0"/>
                <w:sz w:val="24"/>
              </w:rPr>
              <w:t>序号</w:t>
            </w:r>
          </w:p>
        </w:tc>
        <w:tc>
          <w:tcPr>
            <w:tcW w:w="2396" w:type="dxa"/>
            <w:shd w:val="clear" w:color="000000" w:fill="C0C0C0"/>
            <w:vAlign w:val="center"/>
          </w:tcPr>
          <w:p w:rsidR="00BC2576" w:rsidRDefault="00BC2576" w:rsidP="00BF25CE">
            <w:pPr>
              <w:widowControl/>
              <w:spacing w:line="380" w:lineRule="exact"/>
              <w:jc w:val="center"/>
              <w:rPr>
                <w:rFonts w:ascii="宋体" w:hAnsi="宋体" w:cs="Verdana"/>
                <w:bCs/>
                <w:kern w:val="0"/>
                <w:sz w:val="24"/>
              </w:rPr>
            </w:pPr>
            <w:r>
              <w:rPr>
                <w:rFonts w:ascii="宋体" w:hAnsi="宋体" w:cs="Verdana"/>
                <w:bCs/>
                <w:kern w:val="0"/>
                <w:sz w:val="24"/>
              </w:rPr>
              <w:t>岗位职责</w:t>
            </w:r>
          </w:p>
        </w:tc>
        <w:tc>
          <w:tcPr>
            <w:tcW w:w="1843" w:type="dxa"/>
            <w:shd w:val="clear" w:color="000000" w:fill="C0C0C0"/>
            <w:vAlign w:val="center"/>
          </w:tcPr>
          <w:p w:rsidR="00BC2576" w:rsidRDefault="00BC2576" w:rsidP="00BF25CE">
            <w:pPr>
              <w:widowControl/>
              <w:spacing w:line="380" w:lineRule="exact"/>
              <w:jc w:val="center"/>
              <w:rPr>
                <w:rFonts w:ascii="宋体" w:hAnsi="宋体" w:cs="Verdana"/>
                <w:bCs/>
                <w:kern w:val="0"/>
                <w:sz w:val="24"/>
              </w:rPr>
            </w:pPr>
            <w:r>
              <w:rPr>
                <w:rFonts w:ascii="宋体" w:hAnsi="宋体" w:cs="Verdana" w:hint="eastAsia"/>
                <w:bCs/>
                <w:kern w:val="0"/>
                <w:sz w:val="24"/>
              </w:rPr>
              <w:t>含税单</w:t>
            </w:r>
            <w:r>
              <w:rPr>
                <w:rFonts w:ascii="宋体" w:hAnsi="宋体" w:cs="Verdana"/>
                <w:bCs/>
                <w:kern w:val="0"/>
                <w:sz w:val="24"/>
              </w:rPr>
              <w:t>价</w:t>
            </w:r>
          </w:p>
          <w:p w:rsidR="00BC2576" w:rsidRDefault="00BC2576" w:rsidP="00BF25CE">
            <w:pPr>
              <w:widowControl/>
              <w:spacing w:line="380" w:lineRule="exact"/>
              <w:jc w:val="center"/>
              <w:rPr>
                <w:rFonts w:ascii="宋体" w:hAnsi="宋体" w:cs="Verdana"/>
                <w:bCs/>
                <w:kern w:val="0"/>
                <w:sz w:val="24"/>
              </w:rPr>
            </w:pPr>
            <w:r>
              <w:rPr>
                <w:rFonts w:ascii="宋体" w:hAnsi="宋体" w:cs="Verdana" w:hint="eastAsia"/>
                <w:bCs/>
                <w:kern w:val="0"/>
                <w:sz w:val="24"/>
              </w:rPr>
              <w:t>(</w:t>
            </w:r>
            <w:r>
              <w:rPr>
                <w:rFonts w:ascii="宋体" w:hAnsi="宋体" w:cs="Verdana"/>
                <w:bCs/>
                <w:kern w:val="0"/>
                <w:sz w:val="24"/>
              </w:rPr>
              <w:t>人</w:t>
            </w:r>
            <w:r>
              <w:rPr>
                <w:rFonts w:ascii="宋体" w:hAnsi="宋体" w:cs="Verdana" w:hint="eastAsia"/>
                <w:bCs/>
                <w:kern w:val="0"/>
                <w:sz w:val="24"/>
              </w:rPr>
              <w:t>/天)</w:t>
            </w:r>
          </w:p>
        </w:tc>
        <w:tc>
          <w:tcPr>
            <w:tcW w:w="1417" w:type="dxa"/>
            <w:shd w:val="clear" w:color="000000" w:fill="C0C0C0"/>
            <w:vAlign w:val="center"/>
          </w:tcPr>
          <w:p w:rsidR="00BC2576" w:rsidRDefault="00BC2576" w:rsidP="00BF25CE">
            <w:pPr>
              <w:widowControl/>
              <w:spacing w:line="380" w:lineRule="exact"/>
              <w:jc w:val="center"/>
              <w:rPr>
                <w:rFonts w:ascii="宋体" w:hAnsi="宋体" w:cs="Verdana"/>
                <w:bCs/>
                <w:kern w:val="0"/>
                <w:sz w:val="24"/>
              </w:rPr>
            </w:pPr>
            <w:r>
              <w:rPr>
                <w:rFonts w:ascii="宋体" w:hAnsi="宋体" w:cs="Verdana" w:hint="eastAsia"/>
                <w:bCs/>
                <w:kern w:val="0"/>
                <w:sz w:val="24"/>
              </w:rPr>
              <w:t>税率</w:t>
            </w:r>
          </w:p>
        </w:tc>
      </w:tr>
      <w:tr w:rsidR="00BC2576" w:rsidTr="00BF25CE">
        <w:trPr>
          <w:trHeight w:val="123"/>
        </w:trPr>
        <w:tc>
          <w:tcPr>
            <w:tcW w:w="738" w:type="dxa"/>
            <w:shd w:val="clear" w:color="auto" w:fill="auto"/>
            <w:noWrap/>
            <w:vAlign w:val="center"/>
          </w:tcPr>
          <w:p w:rsidR="00BC2576" w:rsidRDefault="00BC2576" w:rsidP="00BF25CE">
            <w:pPr>
              <w:widowControl/>
              <w:spacing w:line="380" w:lineRule="exact"/>
              <w:jc w:val="center"/>
              <w:rPr>
                <w:rFonts w:ascii="宋体" w:hAnsi="宋体" w:cs="Cambria Math"/>
                <w:color w:val="000000"/>
                <w:kern w:val="0"/>
                <w:sz w:val="24"/>
              </w:rPr>
            </w:pPr>
            <w:r>
              <w:rPr>
                <w:rFonts w:ascii="宋体" w:hAnsi="宋体" w:cs="Cambria Math"/>
                <w:color w:val="000000"/>
                <w:kern w:val="0"/>
                <w:sz w:val="24"/>
              </w:rPr>
              <w:t>1</w:t>
            </w:r>
          </w:p>
        </w:tc>
        <w:tc>
          <w:tcPr>
            <w:tcW w:w="2396" w:type="dxa"/>
            <w:shd w:val="clear" w:color="000000" w:fill="FFFFFF"/>
            <w:vAlign w:val="bottom"/>
          </w:tcPr>
          <w:p w:rsidR="00BC2576" w:rsidRDefault="00BC2576" w:rsidP="00BF25CE">
            <w:pPr>
              <w:widowControl/>
              <w:spacing w:line="380" w:lineRule="exact"/>
              <w:jc w:val="left"/>
              <w:rPr>
                <w:rFonts w:ascii="宋体" w:hAnsi="宋体" w:cs="Arial"/>
                <w:bCs/>
                <w:sz w:val="24"/>
              </w:rPr>
            </w:pPr>
            <w:r>
              <w:rPr>
                <w:rFonts w:ascii="宋体" w:hAnsi="宋体" w:cs="Arial"/>
                <w:bCs/>
                <w:sz w:val="24"/>
              </w:rPr>
              <w:t>中级开发工程师</w:t>
            </w:r>
          </w:p>
        </w:tc>
        <w:tc>
          <w:tcPr>
            <w:tcW w:w="1843" w:type="dxa"/>
            <w:shd w:val="clear" w:color="auto" w:fill="auto"/>
            <w:noWrap/>
            <w:vAlign w:val="center"/>
          </w:tcPr>
          <w:p w:rsidR="00BC2576" w:rsidRDefault="00BC2576" w:rsidP="00BF25CE">
            <w:pPr>
              <w:widowControl/>
              <w:spacing w:line="380" w:lineRule="exact"/>
              <w:jc w:val="center"/>
              <w:rPr>
                <w:rFonts w:ascii="宋体" w:hAnsi="宋体" w:cs="Arial"/>
                <w:bCs/>
                <w:sz w:val="24"/>
              </w:rPr>
            </w:pPr>
            <w:r>
              <w:rPr>
                <w:rFonts w:ascii="宋体" w:hAnsi="宋体" w:cs="Arial" w:hint="eastAsia"/>
                <w:bCs/>
                <w:sz w:val="24"/>
              </w:rPr>
              <w:t>1</w:t>
            </w:r>
            <w:r>
              <w:rPr>
                <w:rFonts w:ascii="宋体" w:hAnsi="宋体" w:cs="Arial"/>
                <w:bCs/>
                <w:sz w:val="24"/>
              </w:rPr>
              <w:t>8</w:t>
            </w:r>
            <w:r>
              <w:rPr>
                <w:rFonts w:ascii="宋体" w:hAnsi="宋体" w:cs="Arial" w:hint="eastAsia"/>
                <w:bCs/>
                <w:sz w:val="24"/>
              </w:rPr>
              <w:t>00</w:t>
            </w:r>
          </w:p>
        </w:tc>
        <w:tc>
          <w:tcPr>
            <w:tcW w:w="1417" w:type="dxa"/>
          </w:tcPr>
          <w:p w:rsidR="00BC2576" w:rsidRDefault="006A705D" w:rsidP="00BF25CE">
            <w:pPr>
              <w:widowControl/>
              <w:spacing w:line="380" w:lineRule="exact"/>
              <w:jc w:val="center"/>
              <w:rPr>
                <w:rFonts w:ascii="宋体" w:hAnsi="宋体" w:cs="Arial"/>
                <w:bCs/>
                <w:sz w:val="24"/>
              </w:rPr>
            </w:pPr>
            <w:r>
              <w:rPr>
                <w:rFonts w:ascii="宋体" w:hAnsi="宋体" w:cs="Arial"/>
                <w:bCs/>
                <w:sz w:val="24"/>
              </w:rPr>
              <w:t>3</w:t>
            </w:r>
            <w:r w:rsidR="00BC2576">
              <w:rPr>
                <w:rFonts w:ascii="宋体" w:hAnsi="宋体" w:cs="Arial" w:hint="eastAsia"/>
                <w:bCs/>
                <w:sz w:val="24"/>
              </w:rPr>
              <w:t>%</w:t>
            </w:r>
          </w:p>
        </w:tc>
      </w:tr>
      <w:tr w:rsidR="00BC2576" w:rsidTr="00BF25CE">
        <w:trPr>
          <w:trHeight w:val="123"/>
        </w:trPr>
        <w:tc>
          <w:tcPr>
            <w:tcW w:w="738" w:type="dxa"/>
            <w:shd w:val="clear" w:color="auto" w:fill="auto"/>
            <w:noWrap/>
            <w:vAlign w:val="center"/>
          </w:tcPr>
          <w:p w:rsidR="00BC2576" w:rsidRDefault="00BC2576" w:rsidP="00BF25CE">
            <w:pPr>
              <w:widowControl/>
              <w:spacing w:line="380" w:lineRule="exact"/>
              <w:jc w:val="center"/>
              <w:rPr>
                <w:rFonts w:ascii="宋体" w:hAnsi="宋体" w:cs="Cambria Math"/>
                <w:color w:val="000000"/>
                <w:kern w:val="0"/>
                <w:sz w:val="24"/>
              </w:rPr>
            </w:pPr>
            <w:r>
              <w:rPr>
                <w:rFonts w:ascii="宋体" w:hAnsi="宋体" w:cs="Cambria Math"/>
                <w:color w:val="000000"/>
                <w:kern w:val="0"/>
                <w:sz w:val="24"/>
              </w:rPr>
              <w:t>2</w:t>
            </w:r>
          </w:p>
        </w:tc>
        <w:tc>
          <w:tcPr>
            <w:tcW w:w="2396" w:type="dxa"/>
            <w:shd w:val="clear" w:color="000000" w:fill="FFFFFF"/>
            <w:vAlign w:val="bottom"/>
          </w:tcPr>
          <w:p w:rsidR="00BC2576" w:rsidRDefault="00BC2576" w:rsidP="00BF25CE">
            <w:pPr>
              <w:widowControl/>
              <w:spacing w:line="380" w:lineRule="exact"/>
              <w:jc w:val="left"/>
              <w:rPr>
                <w:rFonts w:ascii="宋体" w:hAnsi="宋体" w:cs="Arial"/>
                <w:bCs/>
                <w:sz w:val="24"/>
              </w:rPr>
            </w:pPr>
            <w:r>
              <w:rPr>
                <w:rFonts w:ascii="宋体" w:hAnsi="宋体" w:cs="Arial"/>
                <w:bCs/>
                <w:sz w:val="24"/>
              </w:rPr>
              <w:t>初级开发工程师</w:t>
            </w:r>
          </w:p>
        </w:tc>
        <w:tc>
          <w:tcPr>
            <w:tcW w:w="1843" w:type="dxa"/>
            <w:shd w:val="clear" w:color="auto" w:fill="auto"/>
            <w:noWrap/>
            <w:vAlign w:val="center"/>
          </w:tcPr>
          <w:p w:rsidR="00BC2576" w:rsidRDefault="00BC2576" w:rsidP="00BF25CE">
            <w:pPr>
              <w:widowControl/>
              <w:spacing w:line="380" w:lineRule="exact"/>
              <w:jc w:val="center"/>
              <w:rPr>
                <w:rFonts w:ascii="宋体" w:hAnsi="宋体" w:cs="Arial"/>
                <w:bCs/>
                <w:sz w:val="24"/>
              </w:rPr>
            </w:pPr>
            <w:r>
              <w:rPr>
                <w:rFonts w:ascii="宋体" w:hAnsi="宋体" w:cs="Arial"/>
                <w:bCs/>
                <w:sz w:val="24"/>
              </w:rPr>
              <w:t>15</w:t>
            </w:r>
            <w:r>
              <w:rPr>
                <w:rFonts w:ascii="宋体" w:hAnsi="宋体" w:cs="Arial" w:hint="eastAsia"/>
                <w:bCs/>
                <w:sz w:val="24"/>
              </w:rPr>
              <w:t>00</w:t>
            </w:r>
          </w:p>
        </w:tc>
        <w:tc>
          <w:tcPr>
            <w:tcW w:w="1417" w:type="dxa"/>
          </w:tcPr>
          <w:p w:rsidR="00BC2576" w:rsidRDefault="006A705D" w:rsidP="00BF25CE">
            <w:pPr>
              <w:widowControl/>
              <w:spacing w:line="380" w:lineRule="exact"/>
              <w:jc w:val="center"/>
              <w:rPr>
                <w:rFonts w:ascii="宋体" w:hAnsi="宋体" w:cs="Arial"/>
                <w:bCs/>
                <w:sz w:val="24"/>
              </w:rPr>
            </w:pPr>
            <w:r>
              <w:rPr>
                <w:rFonts w:ascii="宋体" w:hAnsi="宋体" w:cs="Arial"/>
                <w:bCs/>
                <w:sz w:val="24"/>
              </w:rPr>
              <w:t>3</w:t>
            </w:r>
            <w:r w:rsidR="00BC2576">
              <w:rPr>
                <w:rFonts w:ascii="宋体" w:hAnsi="宋体" w:cs="Arial" w:hint="eastAsia"/>
                <w:bCs/>
                <w:sz w:val="24"/>
              </w:rPr>
              <w:t>%</w:t>
            </w:r>
          </w:p>
        </w:tc>
      </w:tr>
      <w:tr w:rsidR="00BC2576" w:rsidTr="00BF25CE">
        <w:trPr>
          <w:trHeight w:val="282"/>
        </w:trPr>
        <w:tc>
          <w:tcPr>
            <w:tcW w:w="738" w:type="dxa"/>
            <w:shd w:val="clear" w:color="auto" w:fill="auto"/>
            <w:noWrap/>
            <w:vAlign w:val="center"/>
          </w:tcPr>
          <w:p w:rsidR="00BC2576" w:rsidRDefault="00BC2576" w:rsidP="00BF25CE">
            <w:pPr>
              <w:widowControl/>
              <w:spacing w:line="380" w:lineRule="exact"/>
              <w:jc w:val="center"/>
              <w:rPr>
                <w:rFonts w:ascii="宋体" w:hAnsi="宋体" w:cs="Cambria Math"/>
                <w:color w:val="000000"/>
                <w:kern w:val="0"/>
                <w:sz w:val="24"/>
              </w:rPr>
            </w:pPr>
            <w:r>
              <w:rPr>
                <w:rFonts w:ascii="宋体" w:hAnsi="宋体" w:cs="Cambria Math"/>
                <w:color w:val="000000"/>
                <w:kern w:val="0"/>
                <w:sz w:val="24"/>
              </w:rPr>
              <w:t>3</w:t>
            </w:r>
          </w:p>
        </w:tc>
        <w:tc>
          <w:tcPr>
            <w:tcW w:w="2396" w:type="dxa"/>
            <w:shd w:val="clear" w:color="000000" w:fill="FFFFFF"/>
            <w:vAlign w:val="bottom"/>
          </w:tcPr>
          <w:p w:rsidR="00BC2576" w:rsidRDefault="00BC2576" w:rsidP="00BF25CE">
            <w:pPr>
              <w:widowControl/>
              <w:spacing w:line="380" w:lineRule="exact"/>
              <w:jc w:val="left"/>
              <w:rPr>
                <w:rFonts w:ascii="宋体" w:hAnsi="宋体" w:cs="Cambria Math"/>
                <w:bCs/>
                <w:kern w:val="0"/>
                <w:sz w:val="24"/>
              </w:rPr>
            </w:pPr>
            <w:r>
              <w:rPr>
                <w:rFonts w:ascii="宋体" w:hAnsi="宋体" w:cs="Arial"/>
                <w:bCs/>
                <w:sz w:val="24"/>
              </w:rPr>
              <w:t>测试工程师</w:t>
            </w:r>
          </w:p>
        </w:tc>
        <w:tc>
          <w:tcPr>
            <w:tcW w:w="1843" w:type="dxa"/>
            <w:shd w:val="clear" w:color="auto" w:fill="auto"/>
            <w:noWrap/>
            <w:vAlign w:val="center"/>
          </w:tcPr>
          <w:p w:rsidR="00BC2576" w:rsidRDefault="00BC2576" w:rsidP="00BF25CE">
            <w:pPr>
              <w:widowControl/>
              <w:spacing w:line="380" w:lineRule="exact"/>
              <w:jc w:val="center"/>
              <w:rPr>
                <w:rFonts w:ascii="宋体" w:hAnsi="宋体" w:cs="Arial"/>
                <w:bCs/>
                <w:sz w:val="24"/>
              </w:rPr>
            </w:pPr>
            <w:r>
              <w:rPr>
                <w:rFonts w:ascii="宋体" w:hAnsi="宋体" w:cs="Arial" w:hint="eastAsia"/>
                <w:bCs/>
                <w:sz w:val="24"/>
              </w:rPr>
              <w:t>800</w:t>
            </w:r>
          </w:p>
        </w:tc>
        <w:tc>
          <w:tcPr>
            <w:tcW w:w="1417" w:type="dxa"/>
          </w:tcPr>
          <w:p w:rsidR="00BC2576" w:rsidRDefault="006A705D" w:rsidP="00BF25CE">
            <w:pPr>
              <w:widowControl/>
              <w:spacing w:line="380" w:lineRule="exact"/>
              <w:jc w:val="center"/>
              <w:rPr>
                <w:rFonts w:ascii="宋体" w:hAnsi="宋体" w:cs="Arial"/>
                <w:bCs/>
                <w:sz w:val="24"/>
              </w:rPr>
            </w:pPr>
            <w:r>
              <w:rPr>
                <w:rFonts w:ascii="宋体" w:hAnsi="宋体" w:cs="Arial"/>
                <w:bCs/>
                <w:sz w:val="24"/>
              </w:rPr>
              <w:t>3</w:t>
            </w:r>
            <w:r w:rsidR="00BC2576">
              <w:rPr>
                <w:rFonts w:ascii="宋体" w:hAnsi="宋体" w:cs="Arial" w:hint="eastAsia"/>
                <w:bCs/>
                <w:sz w:val="24"/>
              </w:rPr>
              <w:t>%</w:t>
            </w:r>
          </w:p>
        </w:tc>
      </w:tr>
      <w:tr w:rsidR="00BC2576" w:rsidTr="00BF25CE">
        <w:trPr>
          <w:trHeight w:val="273"/>
        </w:trPr>
        <w:tc>
          <w:tcPr>
            <w:tcW w:w="738" w:type="dxa"/>
            <w:shd w:val="clear" w:color="auto" w:fill="auto"/>
            <w:noWrap/>
            <w:vAlign w:val="center"/>
          </w:tcPr>
          <w:p w:rsidR="00BC2576" w:rsidRDefault="00BC2576" w:rsidP="00BF25CE">
            <w:pPr>
              <w:widowControl/>
              <w:spacing w:line="380" w:lineRule="exact"/>
              <w:jc w:val="center"/>
              <w:rPr>
                <w:rFonts w:ascii="宋体" w:hAnsi="宋体" w:cs="Cambria Math"/>
                <w:color w:val="000000"/>
                <w:kern w:val="0"/>
                <w:sz w:val="24"/>
              </w:rPr>
            </w:pPr>
            <w:r>
              <w:rPr>
                <w:rFonts w:ascii="宋体" w:hAnsi="宋体" w:cs="Cambria Math"/>
                <w:color w:val="000000"/>
                <w:kern w:val="0"/>
                <w:sz w:val="24"/>
              </w:rPr>
              <w:t>4</w:t>
            </w:r>
          </w:p>
        </w:tc>
        <w:tc>
          <w:tcPr>
            <w:tcW w:w="2396" w:type="dxa"/>
            <w:shd w:val="clear" w:color="000000" w:fill="FFFFFF"/>
            <w:vAlign w:val="bottom"/>
          </w:tcPr>
          <w:p w:rsidR="00BC2576" w:rsidRDefault="00BC2576" w:rsidP="00BF25CE">
            <w:pPr>
              <w:widowControl/>
              <w:spacing w:line="380" w:lineRule="exact"/>
              <w:jc w:val="left"/>
              <w:rPr>
                <w:rFonts w:ascii="宋体" w:hAnsi="宋体" w:cs="Cambria Math"/>
                <w:bCs/>
                <w:kern w:val="0"/>
                <w:sz w:val="24"/>
              </w:rPr>
            </w:pPr>
            <w:r>
              <w:rPr>
                <w:rFonts w:ascii="宋体" w:hAnsi="宋体" w:cs="Arial"/>
                <w:bCs/>
                <w:sz w:val="24"/>
              </w:rPr>
              <w:t>维护工程师</w:t>
            </w:r>
          </w:p>
        </w:tc>
        <w:tc>
          <w:tcPr>
            <w:tcW w:w="1843" w:type="dxa"/>
            <w:shd w:val="clear" w:color="auto" w:fill="auto"/>
            <w:noWrap/>
            <w:vAlign w:val="center"/>
          </w:tcPr>
          <w:p w:rsidR="00BC2576" w:rsidRDefault="00BC2576" w:rsidP="00BF25CE">
            <w:pPr>
              <w:widowControl/>
              <w:spacing w:line="380" w:lineRule="exact"/>
              <w:jc w:val="center"/>
              <w:rPr>
                <w:rFonts w:ascii="宋体" w:hAnsi="宋体" w:cs="Arial"/>
                <w:bCs/>
                <w:sz w:val="24"/>
              </w:rPr>
            </w:pPr>
            <w:r>
              <w:rPr>
                <w:rFonts w:ascii="宋体" w:hAnsi="宋体" w:cs="Arial"/>
                <w:bCs/>
                <w:sz w:val="24"/>
              </w:rPr>
              <w:t>700</w:t>
            </w:r>
          </w:p>
        </w:tc>
        <w:tc>
          <w:tcPr>
            <w:tcW w:w="1417" w:type="dxa"/>
          </w:tcPr>
          <w:p w:rsidR="00BC2576" w:rsidRDefault="006A705D" w:rsidP="00BF25CE">
            <w:pPr>
              <w:widowControl/>
              <w:spacing w:line="380" w:lineRule="exact"/>
              <w:jc w:val="center"/>
              <w:rPr>
                <w:rFonts w:ascii="宋体" w:hAnsi="宋体" w:cs="Arial"/>
                <w:bCs/>
                <w:sz w:val="24"/>
              </w:rPr>
            </w:pPr>
            <w:r>
              <w:rPr>
                <w:rFonts w:ascii="宋体" w:hAnsi="宋体" w:cs="Arial"/>
                <w:bCs/>
                <w:sz w:val="24"/>
              </w:rPr>
              <w:t>3</w:t>
            </w:r>
            <w:r w:rsidR="00BC2576">
              <w:rPr>
                <w:rFonts w:ascii="宋体" w:hAnsi="宋体" w:cs="Arial" w:hint="eastAsia"/>
                <w:bCs/>
                <w:sz w:val="24"/>
              </w:rPr>
              <w:t>%</w:t>
            </w:r>
          </w:p>
        </w:tc>
      </w:tr>
      <w:tr w:rsidR="00BC2576" w:rsidTr="00BF25CE">
        <w:trPr>
          <w:trHeight w:val="249"/>
        </w:trPr>
        <w:tc>
          <w:tcPr>
            <w:tcW w:w="738" w:type="dxa"/>
            <w:shd w:val="clear" w:color="auto" w:fill="auto"/>
            <w:noWrap/>
            <w:vAlign w:val="center"/>
          </w:tcPr>
          <w:p w:rsidR="00BC2576" w:rsidRDefault="00BC2576" w:rsidP="00BF25CE">
            <w:pPr>
              <w:widowControl/>
              <w:spacing w:line="380" w:lineRule="exact"/>
              <w:jc w:val="center"/>
              <w:rPr>
                <w:rFonts w:ascii="宋体" w:hAnsi="宋体" w:cs="Cambria Math"/>
                <w:color w:val="000000"/>
                <w:kern w:val="0"/>
                <w:sz w:val="24"/>
              </w:rPr>
            </w:pPr>
            <w:r>
              <w:rPr>
                <w:rFonts w:ascii="宋体" w:hAnsi="宋体" w:cs="Cambria Math"/>
                <w:color w:val="000000"/>
                <w:kern w:val="0"/>
                <w:sz w:val="24"/>
              </w:rPr>
              <w:t>5</w:t>
            </w:r>
          </w:p>
        </w:tc>
        <w:tc>
          <w:tcPr>
            <w:tcW w:w="2396" w:type="dxa"/>
            <w:shd w:val="clear" w:color="000000" w:fill="FFFFFF"/>
            <w:vAlign w:val="bottom"/>
          </w:tcPr>
          <w:p w:rsidR="00BC2576" w:rsidRDefault="00BC2576" w:rsidP="00BF25CE">
            <w:pPr>
              <w:widowControl/>
              <w:spacing w:line="380" w:lineRule="exact"/>
              <w:jc w:val="left"/>
              <w:rPr>
                <w:rFonts w:ascii="宋体" w:hAnsi="宋体" w:cs="Arial"/>
                <w:bCs/>
                <w:sz w:val="24"/>
              </w:rPr>
            </w:pPr>
            <w:r>
              <w:rPr>
                <w:rFonts w:ascii="宋体" w:hAnsi="宋体" w:cs="Arial"/>
                <w:bCs/>
                <w:sz w:val="24"/>
              </w:rPr>
              <w:t>保障员</w:t>
            </w:r>
          </w:p>
        </w:tc>
        <w:tc>
          <w:tcPr>
            <w:tcW w:w="1843" w:type="dxa"/>
            <w:shd w:val="clear" w:color="auto" w:fill="auto"/>
            <w:noWrap/>
            <w:vAlign w:val="center"/>
          </w:tcPr>
          <w:p w:rsidR="00BC2576" w:rsidRDefault="00BC2576" w:rsidP="00BF25CE">
            <w:pPr>
              <w:widowControl/>
              <w:spacing w:line="380" w:lineRule="exact"/>
              <w:jc w:val="center"/>
              <w:rPr>
                <w:rFonts w:ascii="宋体" w:hAnsi="宋体" w:cs="Arial"/>
                <w:bCs/>
                <w:sz w:val="24"/>
              </w:rPr>
            </w:pPr>
            <w:r>
              <w:rPr>
                <w:rFonts w:ascii="宋体" w:hAnsi="宋体" w:cs="Arial" w:hint="eastAsia"/>
                <w:bCs/>
                <w:sz w:val="24"/>
              </w:rPr>
              <w:t>500</w:t>
            </w:r>
          </w:p>
        </w:tc>
        <w:tc>
          <w:tcPr>
            <w:tcW w:w="1417" w:type="dxa"/>
          </w:tcPr>
          <w:p w:rsidR="00BC2576" w:rsidRDefault="006A705D" w:rsidP="00BF25CE">
            <w:pPr>
              <w:widowControl/>
              <w:spacing w:line="380" w:lineRule="exact"/>
              <w:jc w:val="center"/>
              <w:rPr>
                <w:rFonts w:ascii="宋体" w:hAnsi="宋体" w:cs="Arial"/>
                <w:bCs/>
                <w:sz w:val="24"/>
              </w:rPr>
            </w:pPr>
            <w:r>
              <w:rPr>
                <w:rFonts w:ascii="宋体" w:hAnsi="宋体" w:cs="Arial"/>
                <w:bCs/>
                <w:sz w:val="24"/>
              </w:rPr>
              <w:t>3</w:t>
            </w:r>
            <w:r w:rsidR="00BC2576">
              <w:rPr>
                <w:rFonts w:ascii="宋体" w:hAnsi="宋体" w:cs="Arial" w:hint="eastAsia"/>
                <w:bCs/>
                <w:sz w:val="24"/>
              </w:rPr>
              <w:t>%</w:t>
            </w:r>
          </w:p>
        </w:tc>
      </w:tr>
      <w:bookmarkEnd w:id="2"/>
    </w:tbl>
    <w:p w:rsidR="00901F1C" w:rsidRPr="00AC360D" w:rsidRDefault="00901F1C" w:rsidP="00901F1C">
      <w:pPr>
        <w:pStyle w:val="ac"/>
        <w:spacing w:line="380" w:lineRule="exact"/>
        <w:rPr>
          <w:rFonts w:ascii="宋体" w:hAnsi="宋体"/>
          <w:kern w:val="2"/>
          <w:lang w:eastAsia="zh-CN"/>
        </w:rPr>
      </w:pPr>
    </w:p>
    <w:p w:rsidR="00901F1C" w:rsidRPr="00901F1C" w:rsidRDefault="00901F1C" w:rsidP="00901F1C">
      <w:pPr>
        <w:widowControl/>
        <w:jc w:val="left"/>
        <w:rPr>
          <w:rFonts w:ascii="宋体" w:eastAsia="宋体" w:hAnsi="宋体" w:cs="Arial"/>
          <w:b/>
          <w:bCs/>
          <w:iCs/>
          <w:kern w:val="0"/>
          <w:sz w:val="24"/>
          <w:szCs w:val="24"/>
        </w:rPr>
      </w:pPr>
      <w:bookmarkStart w:id="3" w:name="_Toc242095454"/>
      <w:bookmarkStart w:id="4" w:name="_Toc534898641"/>
      <w:r w:rsidRPr="00901F1C">
        <w:rPr>
          <w:rFonts w:ascii="宋体" w:eastAsia="宋体" w:hAnsi="宋体" w:cs="Arial"/>
          <w:b/>
          <w:bCs/>
          <w:iCs/>
          <w:kern w:val="0"/>
          <w:sz w:val="24"/>
          <w:szCs w:val="24"/>
        </w:rPr>
        <w:t>附件二：服务内容</w:t>
      </w:r>
      <w:bookmarkEnd w:id="3"/>
      <w:bookmarkEnd w:id="4"/>
    </w:p>
    <w:p w:rsidR="00633ADA" w:rsidRPr="00225217" w:rsidRDefault="00633ADA" w:rsidP="00633ADA">
      <w:pPr>
        <w:autoSpaceDE w:val="0"/>
        <w:autoSpaceDN w:val="0"/>
        <w:adjustRightInd w:val="0"/>
        <w:spacing w:line="380" w:lineRule="exact"/>
        <w:jc w:val="left"/>
        <w:rPr>
          <w:rFonts w:ascii="宋体" w:hAnsi="宋体" w:cs="宋体"/>
          <w:kern w:val="0"/>
          <w:sz w:val="24"/>
        </w:rPr>
      </w:pPr>
      <w:r w:rsidRPr="00225217">
        <w:rPr>
          <w:rFonts w:ascii="宋体" w:hAnsi="宋体" w:cs="宋体"/>
          <w:kern w:val="0"/>
          <w:sz w:val="24"/>
        </w:rPr>
        <w:t>如下维护和开发的服务内容为乙方提供给</w:t>
      </w:r>
      <w:r w:rsidRPr="00225217">
        <w:rPr>
          <w:rFonts w:ascii="宋体" w:hAnsi="宋体" w:cs="宋体" w:hint="eastAsia"/>
          <w:kern w:val="0"/>
          <w:sz w:val="24"/>
        </w:rPr>
        <w:t>甲方的最终用户，项</w:t>
      </w:r>
      <w:bookmarkStart w:id="5" w:name="_GoBack"/>
      <w:bookmarkEnd w:id="5"/>
      <w:r w:rsidRPr="00225217">
        <w:rPr>
          <w:rFonts w:ascii="宋体" w:hAnsi="宋体" w:cs="宋体" w:hint="eastAsia"/>
          <w:kern w:val="0"/>
          <w:sz w:val="24"/>
        </w:rPr>
        <w:t>目名称为：2019-2021年</w:t>
      </w:r>
      <w:proofErr w:type="spellStart"/>
      <w:r w:rsidRPr="00225217">
        <w:rPr>
          <w:rFonts w:ascii="宋体" w:hAnsi="宋体" w:cs="宋体" w:hint="eastAsia"/>
          <w:kern w:val="0"/>
          <w:sz w:val="24"/>
        </w:rPr>
        <w:t>Opex</w:t>
      </w:r>
      <w:proofErr w:type="spellEnd"/>
      <w:r w:rsidRPr="00225217">
        <w:rPr>
          <w:rFonts w:ascii="宋体" w:hAnsi="宋体" w:cs="宋体" w:hint="eastAsia"/>
          <w:kern w:val="0"/>
          <w:sz w:val="24"/>
        </w:rPr>
        <w:t>技术支撑服务</w:t>
      </w:r>
    </w:p>
    <w:p w:rsidR="00633ADA" w:rsidRPr="006A3DD9" w:rsidRDefault="00633ADA" w:rsidP="00633ADA">
      <w:pPr>
        <w:autoSpaceDE w:val="0"/>
        <w:autoSpaceDN w:val="0"/>
        <w:adjustRightInd w:val="0"/>
        <w:spacing w:line="380" w:lineRule="exact"/>
        <w:jc w:val="left"/>
        <w:rPr>
          <w:rFonts w:ascii="宋体" w:hAnsi="宋体" w:cs="宋体"/>
          <w:sz w:val="24"/>
          <w:highlight w:val="yellow"/>
        </w:rPr>
      </w:pPr>
    </w:p>
    <w:p w:rsidR="00633ADA" w:rsidRPr="001E70F7" w:rsidRDefault="00633ADA" w:rsidP="00633ADA">
      <w:pPr>
        <w:autoSpaceDE w:val="0"/>
        <w:autoSpaceDN w:val="0"/>
        <w:adjustRightInd w:val="0"/>
        <w:spacing w:line="380" w:lineRule="exact"/>
        <w:jc w:val="left"/>
        <w:rPr>
          <w:rFonts w:ascii="宋体" w:hAnsi="宋体" w:cs="宋体"/>
          <w:b/>
          <w:kern w:val="0"/>
          <w:sz w:val="24"/>
        </w:rPr>
      </w:pPr>
      <w:r w:rsidRPr="001E70F7">
        <w:rPr>
          <w:rFonts w:ascii="宋体" w:hAnsi="宋体" w:cs="宋体" w:hint="eastAsia"/>
          <w:b/>
          <w:kern w:val="0"/>
          <w:sz w:val="24"/>
        </w:rPr>
        <w:t>开发软件上线：</w:t>
      </w:r>
    </w:p>
    <w:p w:rsidR="00633ADA" w:rsidRPr="001E70F7" w:rsidRDefault="00633ADA" w:rsidP="00633ADA">
      <w:pPr>
        <w:spacing w:line="360" w:lineRule="auto"/>
        <w:ind w:firstLineChars="200" w:firstLine="480"/>
        <w:rPr>
          <w:rFonts w:ascii="宋体" w:hAnsi="宋体"/>
          <w:sz w:val="24"/>
        </w:rPr>
      </w:pPr>
      <w:r w:rsidRPr="001E70F7">
        <w:rPr>
          <w:rFonts w:ascii="宋体" w:hAnsi="宋体" w:cs="宋体" w:hint="eastAsia"/>
          <w:kern w:val="0"/>
          <w:sz w:val="24"/>
        </w:rPr>
        <w:t>乙方在完成开发软件测试工作，并经甲方同意后，应按甲方要求完成开发软件上线工作。</w:t>
      </w:r>
    </w:p>
    <w:p w:rsidR="00633ADA" w:rsidRPr="001E70F7" w:rsidRDefault="00633ADA" w:rsidP="00633ADA">
      <w:pPr>
        <w:autoSpaceDE w:val="0"/>
        <w:autoSpaceDN w:val="0"/>
        <w:adjustRightInd w:val="0"/>
        <w:spacing w:line="380" w:lineRule="exact"/>
        <w:jc w:val="left"/>
        <w:rPr>
          <w:rFonts w:ascii="宋体" w:hAnsi="宋体" w:cs="宋体"/>
          <w:b/>
          <w:kern w:val="0"/>
          <w:sz w:val="24"/>
        </w:rPr>
      </w:pPr>
      <w:r w:rsidRPr="001E70F7">
        <w:rPr>
          <w:rFonts w:ascii="宋体" w:hAnsi="宋体" w:cs="宋体" w:hint="eastAsia"/>
          <w:b/>
          <w:kern w:val="0"/>
          <w:sz w:val="24"/>
        </w:rPr>
        <w:t>业务运营：</w:t>
      </w:r>
    </w:p>
    <w:p w:rsidR="00633ADA" w:rsidRPr="001E70F7" w:rsidRDefault="00633ADA" w:rsidP="00633ADA">
      <w:pPr>
        <w:spacing w:line="360" w:lineRule="auto"/>
        <w:ind w:firstLineChars="200" w:firstLine="480"/>
        <w:rPr>
          <w:rFonts w:ascii="宋体" w:hAnsi="宋体"/>
          <w:sz w:val="24"/>
        </w:rPr>
      </w:pPr>
      <w:r w:rsidRPr="001E70F7">
        <w:rPr>
          <w:rFonts w:ascii="宋体" w:hAnsi="宋体" w:hint="eastAsia"/>
          <w:sz w:val="24"/>
        </w:rPr>
        <w:t>乙方应负责甲方系统的业务运营，业务运营的范围包括但不限于以下内容：数据质量监控与分析、数据提取与分析、局数据配置与验证、账务核对与分析、专题分析等日常业务运营操作。</w:t>
      </w:r>
    </w:p>
    <w:p w:rsidR="00633ADA" w:rsidRPr="001E70F7" w:rsidRDefault="00633ADA" w:rsidP="00633ADA">
      <w:pPr>
        <w:autoSpaceDE w:val="0"/>
        <w:autoSpaceDN w:val="0"/>
        <w:adjustRightInd w:val="0"/>
        <w:spacing w:line="380" w:lineRule="exact"/>
        <w:jc w:val="left"/>
        <w:rPr>
          <w:rFonts w:ascii="宋体" w:hAnsi="宋体" w:cs="宋体"/>
          <w:b/>
          <w:kern w:val="0"/>
          <w:sz w:val="24"/>
        </w:rPr>
      </w:pPr>
      <w:r w:rsidRPr="001E70F7">
        <w:rPr>
          <w:rFonts w:ascii="宋体" w:hAnsi="宋体" w:cs="宋体" w:hint="eastAsia"/>
          <w:b/>
          <w:kern w:val="0"/>
          <w:sz w:val="24"/>
        </w:rPr>
        <w:t>培训工作：</w:t>
      </w:r>
    </w:p>
    <w:p w:rsidR="00633ADA" w:rsidRPr="001E70F7" w:rsidRDefault="00633ADA" w:rsidP="00633ADA">
      <w:pPr>
        <w:spacing w:line="360" w:lineRule="auto"/>
        <w:ind w:firstLineChars="200" w:firstLine="480"/>
        <w:rPr>
          <w:rFonts w:ascii="宋体" w:hAnsi="宋体"/>
          <w:sz w:val="24"/>
        </w:rPr>
      </w:pPr>
      <w:r w:rsidRPr="001E70F7">
        <w:rPr>
          <w:rFonts w:ascii="宋体" w:hAnsi="宋体" w:hint="eastAsia"/>
          <w:sz w:val="24"/>
        </w:rPr>
        <w:t>乙方应按甲方要求对甲方人员进行软件使用和维护的现场培训。</w:t>
      </w:r>
    </w:p>
    <w:p w:rsidR="00633ADA" w:rsidRPr="001E70F7" w:rsidRDefault="00633ADA" w:rsidP="00633ADA">
      <w:pPr>
        <w:autoSpaceDE w:val="0"/>
        <w:autoSpaceDN w:val="0"/>
        <w:adjustRightInd w:val="0"/>
        <w:spacing w:line="380" w:lineRule="exact"/>
        <w:jc w:val="left"/>
        <w:rPr>
          <w:rFonts w:ascii="宋体" w:hAnsi="宋体" w:cs="宋体"/>
          <w:b/>
          <w:kern w:val="0"/>
          <w:sz w:val="24"/>
        </w:rPr>
      </w:pPr>
      <w:r w:rsidRPr="001E70F7">
        <w:rPr>
          <w:rFonts w:ascii="宋体" w:hAnsi="宋体" w:cs="宋体" w:hint="eastAsia"/>
          <w:b/>
          <w:kern w:val="0"/>
          <w:sz w:val="24"/>
        </w:rPr>
        <w:t>其他相关服务：</w:t>
      </w:r>
    </w:p>
    <w:p w:rsidR="00633ADA" w:rsidRPr="001E70F7" w:rsidRDefault="00633ADA" w:rsidP="00633ADA">
      <w:pPr>
        <w:spacing w:line="360" w:lineRule="auto"/>
        <w:ind w:firstLineChars="200" w:firstLine="480"/>
        <w:rPr>
          <w:rFonts w:ascii="宋体" w:hAnsi="宋体"/>
          <w:sz w:val="24"/>
        </w:rPr>
      </w:pPr>
      <w:r w:rsidRPr="001E70F7">
        <w:rPr>
          <w:rFonts w:ascii="宋体" w:hAnsi="宋体" w:hint="eastAsia"/>
          <w:sz w:val="24"/>
        </w:rPr>
        <w:t>乙方按照甲方的要求，提供其它甲方指定的服务，例如项目管理服务、突发事件支持服务等。</w:t>
      </w:r>
    </w:p>
    <w:p w:rsidR="00633ADA" w:rsidRPr="001E70F7" w:rsidRDefault="00633ADA" w:rsidP="00633ADA">
      <w:pPr>
        <w:spacing w:line="360" w:lineRule="auto"/>
        <w:rPr>
          <w:rFonts w:ascii="宋体" w:hAnsi="宋体" w:cs="宋体"/>
          <w:b/>
          <w:kern w:val="0"/>
          <w:sz w:val="24"/>
        </w:rPr>
      </w:pPr>
      <w:r w:rsidRPr="001E70F7">
        <w:rPr>
          <w:rFonts w:ascii="宋体" w:hAnsi="宋体" w:cs="宋体" w:hint="eastAsia"/>
          <w:b/>
          <w:kern w:val="0"/>
          <w:sz w:val="24"/>
        </w:rPr>
        <w:t>系统功能包括：</w:t>
      </w:r>
    </w:p>
    <w:p w:rsidR="00633ADA" w:rsidRPr="001E70F7" w:rsidRDefault="00633ADA" w:rsidP="00633ADA">
      <w:pPr>
        <w:spacing w:line="360" w:lineRule="auto"/>
        <w:ind w:firstLineChars="177" w:firstLine="425"/>
        <w:rPr>
          <w:rFonts w:ascii="宋体" w:hAnsi="宋体"/>
          <w:sz w:val="24"/>
        </w:rPr>
      </w:pPr>
      <w:r w:rsidRPr="001E70F7">
        <w:rPr>
          <w:rFonts w:ascii="宋体" w:hAnsi="宋体" w:hint="eastAsia"/>
          <w:sz w:val="24"/>
        </w:rPr>
        <w:t>和OA系统集成、用户单点登录、审计结果待办推送、审批事项待办推送。</w:t>
      </w:r>
    </w:p>
    <w:p w:rsidR="00633ADA" w:rsidRPr="001E70F7" w:rsidRDefault="00633ADA" w:rsidP="00633ADA">
      <w:pPr>
        <w:spacing w:line="360" w:lineRule="auto"/>
        <w:ind w:firstLineChars="177" w:firstLine="425"/>
        <w:rPr>
          <w:rFonts w:ascii="宋体" w:hAnsi="宋体"/>
          <w:sz w:val="24"/>
        </w:rPr>
      </w:pPr>
      <w:r w:rsidRPr="001E70F7">
        <w:rPr>
          <w:rFonts w:ascii="宋体" w:hAnsi="宋体" w:hint="eastAsia"/>
          <w:sz w:val="24"/>
        </w:rPr>
        <w:t>用户帐号及权限：各单位提交用户帐号开通或删除申请，经相关审批后由系统维护部门及相关部门组织实现。</w:t>
      </w:r>
    </w:p>
    <w:p w:rsidR="00633ADA" w:rsidRPr="001E70F7" w:rsidRDefault="00633ADA" w:rsidP="00633ADA">
      <w:pPr>
        <w:spacing w:line="360" w:lineRule="auto"/>
        <w:ind w:firstLineChars="177" w:firstLine="425"/>
        <w:rPr>
          <w:rFonts w:ascii="宋体" w:hAnsi="宋体"/>
          <w:sz w:val="24"/>
        </w:rPr>
      </w:pPr>
      <w:r w:rsidRPr="001E70F7">
        <w:rPr>
          <w:rFonts w:ascii="宋体" w:hAnsi="宋体" w:hint="eastAsia"/>
          <w:sz w:val="24"/>
        </w:rPr>
        <w:t>用户应用支持：用户使用说明书，以及各功能、各模型附带的使用帮助功能；系统相关审批事项和审批流程的设置功能；在线的故障报送、需求变更等功能，以及解决情况的记录和反馈；提供电话、飞信群等形式的技术支持服务（5天*8小时，总部工作时间）。</w:t>
      </w:r>
    </w:p>
    <w:p w:rsidR="00633ADA" w:rsidRPr="001E70F7" w:rsidRDefault="00633ADA" w:rsidP="00633ADA">
      <w:pPr>
        <w:spacing w:line="360" w:lineRule="auto"/>
        <w:ind w:firstLineChars="177" w:firstLine="425"/>
        <w:rPr>
          <w:rFonts w:ascii="宋体" w:hAnsi="宋体"/>
          <w:sz w:val="24"/>
        </w:rPr>
      </w:pPr>
      <w:r w:rsidRPr="001E70F7">
        <w:rPr>
          <w:rFonts w:ascii="宋体" w:hAnsi="宋体" w:hint="eastAsia"/>
          <w:sz w:val="24"/>
        </w:rPr>
        <w:lastRenderedPageBreak/>
        <w:t>系统应用记录：系统应用情况统计，包括每个模型的上线时间、数据传输记录、出具报告记录、用户访问次数、变更时间及内容、下线时间等。支持按模型、时间、记录类型等多条件组合进行查询。</w:t>
      </w:r>
    </w:p>
    <w:p w:rsidR="00633ADA" w:rsidRPr="001E70F7" w:rsidRDefault="00633ADA" w:rsidP="00633ADA">
      <w:pPr>
        <w:spacing w:line="360" w:lineRule="auto"/>
        <w:ind w:firstLineChars="177" w:firstLine="425"/>
        <w:rPr>
          <w:rFonts w:ascii="宋体" w:hAnsi="宋体"/>
          <w:sz w:val="24"/>
        </w:rPr>
      </w:pPr>
      <w:r w:rsidRPr="001E70F7">
        <w:rPr>
          <w:rFonts w:ascii="宋体" w:hAnsi="宋体" w:hint="eastAsia"/>
          <w:sz w:val="24"/>
        </w:rPr>
        <w:t xml:space="preserve">移动云媒体转码新业务支持，自动化出账工具UOM功能优化，多次预出帐的能力支持，EOMS接口增加呼叫中心直联业务投诉工单，定向流量统付业务注销后，已赠送流量包可以使用到帐期结束，多媒体互联网播报新业务支持，一级局数据接口支持DCF操作未来生效局数据，流量统付违规拨测管理，企业和多号全网产品实名认证能力支持，移动云视频直播新产品支持，销售支撑和运营支撑结算报表调整，市场部流量统付运营支撑团队业务统计支持； </w:t>
      </w:r>
    </w:p>
    <w:p w:rsidR="00633ADA" w:rsidRPr="001E70F7" w:rsidRDefault="00633ADA" w:rsidP="00633ADA">
      <w:pPr>
        <w:spacing w:line="360" w:lineRule="auto"/>
        <w:ind w:firstLineChars="177" w:firstLine="425"/>
        <w:rPr>
          <w:rFonts w:ascii="宋体" w:hAnsi="宋体"/>
          <w:sz w:val="24"/>
        </w:rPr>
      </w:pPr>
      <w:r w:rsidRPr="001E70F7">
        <w:rPr>
          <w:rFonts w:ascii="宋体" w:hAnsi="宋体" w:hint="eastAsia"/>
          <w:sz w:val="24"/>
        </w:rPr>
        <w:t>终端库存管理功能优化，终端调拨管理流程优化，封装统一支付对接类接口能力，能力开放平台H5能力投放：商品发布、订单生成、订单查询，能力开放平台支撑新增产品类型（国漫，号卡，宽带，定向流量包）拨测模拟订单下发，业务办理平台-新号入网</w:t>
      </w:r>
      <w:proofErr w:type="spellStart"/>
      <w:r w:rsidRPr="001E70F7">
        <w:rPr>
          <w:rFonts w:ascii="宋体" w:hAnsi="宋体" w:hint="eastAsia"/>
          <w:sz w:val="24"/>
        </w:rPr>
        <w:t>uSIM</w:t>
      </w:r>
      <w:proofErr w:type="spellEnd"/>
      <w:r w:rsidRPr="001E70F7">
        <w:rPr>
          <w:rFonts w:ascii="宋体" w:hAnsi="宋体" w:hint="eastAsia"/>
          <w:sz w:val="24"/>
        </w:rPr>
        <w:t>在线写卡模式，业务办理平台-</w:t>
      </w:r>
      <w:proofErr w:type="spellStart"/>
      <w:r w:rsidRPr="001E70F7">
        <w:rPr>
          <w:rFonts w:ascii="宋体" w:hAnsi="宋体" w:hint="eastAsia"/>
          <w:sz w:val="24"/>
        </w:rPr>
        <w:t>eSIM</w:t>
      </w:r>
      <w:proofErr w:type="spellEnd"/>
      <w:r w:rsidRPr="001E70F7">
        <w:rPr>
          <w:rFonts w:ascii="宋体" w:hAnsi="宋体" w:hint="eastAsia"/>
          <w:sz w:val="24"/>
        </w:rPr>
        <w:t xml:space="preserve">设备新入网电子协议支撑，能开-商品向生产中心同步，H5销售虚拟类商品订单流转机制，销售H5-咪咕钻石会员，销售H5-汽车智能车载终端类商品； </w:t>
      </w:r>
    </w:p>
    <w:p w:rsidR="00633ADA" w:rsidRPr="001E70F7" w:rsidRDefault="00633ADA" w:rsidP="00633ADA">
      <w:pPr>
        <w:spacing w:line="360" w:lineRule="auto"/>
        <w:ind w:firstLineChars="177" w:firstLine="425"/>
        <w:rPr>
          <w:rFonts w:ascii="宋体" w:hAnsi="宋体"/>
          <w:sz w:val="24"/>
        </w:rPr>
      </w:pPr>
      <w:r w:rsidRPr="001E70F7">
        <w:rPr>
          <w:rFonts w:ascii="宋体" w:hAnsi="宋体" w:hint="eastAsia"/>
          <w:sz w:val="24"/>
        </w:rPr>
        <w:t>统一修改数据库密码前台管理改造，咪咕统一计费系统支持魔百和业务，给BOMC短信监控传输接口及告警规则变更，一证五号手动及自动切换备用集群的建设，和多号业务改造（虚拟副号支持VoLTE功能）；</w:t>
      </w:r>
    </w:p>
    <w:p w:rsidR="00633ADA" w:rsidRPr="001E70F7" w:rsidRDefault="00633ADA" w:rsidP="00633ADA">
      <w:pPr>
        <w:spacing w:line="360" w:lineRule="auto"/>
        <w:ind w:firstLineChars="177" w:firstLine="425"/>
        <w:rPr>
          <w:rFonts w:ascii="宋体" w:hAnsi="宋体"/>
          <w:sz w:val="24"/>
        </w:rPr>
      </w:pPr>
      <w:r w:rsidRPr="001E70F7">
        <w:rPr>
          <w:rFonts w:ascii="宋体" w:hAnsi="宋体" w:hint="eastAsia"/>
          <w:sz w:val="24"/>
        </w:rPr>
        <w:t>定向流量统付业务注销后，已赠送流量包可以使用到帐期结束，多媒体互联网播报新业务支持，枢纽FTP接口全部迁移到网状网，一级局数据接口支持DCF操作未来生效局数据，流量统付违规拨测管理，企业和多号全网产品实名认证能力支持，移动云视频直播新产品支持，销售支撑和运营支撑结算报表调整，和对讲业务平台成员接口修改，EC发起流量统付成员/叠加包省公司开通失败流程优化，营改增新费用项执行税率自动同步，行业WLAN业务修改资费模式，增加互联网专线专用套餐，MPLS-VPN工单查询和业务分析报表，流量统付业务的模拟实收结算支持，跨省数据专线审批流程增加地市管理员审批环节；</w:t>
      </w:r>
    </w:p>
    <w:p w:rsidR="00901F1C" w:rsidRPr="00633ADA" w:rsidRDefault="00901F1C" w:rsidP="00901F1C">
      <w:pPr>
        <w:autoSpaceDE w:val="0"/>
        <w:autoSpaceDN w:val="0"/>
        <w:adjustRightInd w:val="0"/>
        <w:spacing w:line="380" w:lineRule="exact"/>
        <w:jc w:val="left"/>
        <w:rPr>
          <w:rFonts w:ascii="宋体" w:hAnsi="宋体" w:cs="Verdana"/>
          <w:color w:val="000000"/>
          <w:kern w:val="0"/>
          <w:sz w:val="24"/>
        </w:rPr>
      </w:pPr>
    </w:p>
    <w:p w:rsidR="00E83B76" w:rsidRPr="00D0519F" w:rsidRDefault="00633ADA" w:rsidP="00633ADA">
      <w:pPr>
        <w:jc w:val="right"/>
        <w:rPr>
          <w:rFonts w:ascii="宋体" w:hAnsi="宋体" w:cs="宋体"/>
          <w:b/>
          <w:color w:val="000000"/>
          <w:kern w:val="0"/>
        </w:rPr>
      </w:pPr>
      <w:r>
        <w:rPr>
          <w:rFonts w:ascii="微软雅黑" w:eastAsia="微软雅黑" w:hAnsi="微软雅黑" w:cs="微软雅黑" w:hint="eastAsia"/>
          <w:sz w:val="28"/>
          <w:szCs w:val="28"/>
        </w:rPr>
        <w:t>报价公司：</w:t>
      </w:r>
      <w:r w:rsidR="00BC2576">
        <w:rPr>
          <w:rFonts w:ascii="微软雅黑" w:eastAsia="微软雅黑" w:hAnsi="微软雅黑" w:cs="微软雅黑" w:hint="eastAsia"/>
          <w:sz w:val="28"/>
          <w:szCs w:val="28"/>
        </w:rPr>
        <w:t>成都揽月致胜科技</w:t>
      </w:r>
      <w:r w:rsidRPr="00AC360D">
        <w:rPr>
          <w:rFonts w:ascii="微软雅黑" w:eastAsia="微软雅黑" w:hAnsi="微软雅黑" w:cs="微软雅黑" w:hint="eastAsia"/>
          <w:sz w:val="28"/>
          <w:szCs w:val="28"/>
        </w:rPr>
        <w:t>有限公司</w:t>
      </w:r>
    </w:p>
    <w:sectPr w:rsidR="00E83B76" w:rsidRPr="00D0519F" w:rsidSect="002A4078">
      <w:footerReference w:type="default" r:id="rId7"/>
      <w:pgSz w:w="11906" w:h="16838"/>
      <w:pgMar w:top="680" w:right="1134" w:bottom="1440" w:left="73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0107" w:rsidRDefault="003B0107" w:rsidP="00963976">
      <w:r>
        <w:separator/>
      </w:r>
    </w:p>
  </w:endnote>
  <w:endnote w:type="continuationSeparator" w:id="0">
    <w:p w:rsidR="003B0107" w:rsidRDefault="003B0107" w:rsidP="00963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5974610"/>
      <w:docPartObj>
        <w:docPartGallery w:val="Page Numbers (Bottom of Page)"/>
        <w:docPartUnique/>
      </w:docPartObj>
    </w:sdtPr>
    <w:sdtEndPr/>
    <w:sdtContent>
      <w:sdt>
        <w:sdtPr>
          <w:id w:val="1728636285"/>
          <w:docPartObj>
            <w:docPartGallery w:val="Page Numbers (Top of Page)"/>
            <w:docPartUnique/>
          </w:docPartObj>
        </w:sdtPr>
        <w:sdtEndPr/>
        <w:sdtContent>
          <w:p w:rsidR="00F47B13" w:rsidRDefault="00F47B13" w:rsidP="00F47B13">
            <w:pPr>
              <w:pStyle w:val="a6"/>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sidR="00F57A8A">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F57A8A">
              <w:rPr>
                <w:b/>
                <w:bCs/>
                <w:noProof/>
              </w:rPr>
              <w:t>2</w:t>
            </w:r>
            <w:r>
              <w:rPr>
                <w:b/>
                <w:bCs/>
                <w:sz w:val="24"/>
                <w:szCs w:val="24"/>
              </w:rPr>
              <w:fldChar w:fldCharType="end"/>
            </w:r>
          </w:p>
        </w:sdtContent>
      </w:sdt>
    </w:sdtContent>
  </w:sdt>
  <w:p w:rsidR="00F47B13" w:rsidRDefault="00F47B1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0107" w:rsidRDefault="003B0107" w:rsidP="00963976">
      <w:r>
        <w:separator/>
      </w:r>
    </w:p>
  </w:footnote>
  <w:footnote w:type="continuationSeparator" w:id="0">
    <w:p w:rsidR="003B0107" w:rsidRDefault="003B0107" w:rsidP="009639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2134F"/>
    <w:multiLevelType w:val="hybridMultilevel"/>
    <w:tmpl w:val="06C05912"/>
    <w:lvl w:ilvl="0" w:tplc="16B2EEBA">
      <w:start w:val="1"/>
      <w:numFmt w:val="decimal"/>
      <w:lvlText w:val="（%1）"/>
      <w:lvlJc w:val="left"/>
      <w:pPr>
        <w:tabs>
          <w:tab w:val="num" w:pos="1440"/>
        </w:tabs>
        <w:ind w:left="1440" w:hanging="10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 w15:restartNumberingAfterBreak="0">
    <w:nsid w:val="161D0E53"/>
    <w:multiLevelType w:val="hybridMultilevel"/>
    <w:tmpl w:val="58E6EF3E"/>
    <w:lvl w:ilvl="0" w:tplc="04090001">
      <w:start w:val="1"/>
      <w:numFmt w:val="bullet"/>
      <w:lvlText w:val=""/>
      <w:lvlJc w:val="left"/>
      <w:pPr>
        <w:ind w:left="1290" w:hanging="810"/>
      </w:pPr>
      <w:rPr>
        <w:rFonts w:ascii="Wingdings" w:hAnsi="Wingdings" w:hint="default"/>
      </w:rPr>
    </w:lvl>
    <w:lvl w:ilvl="1" w:tplc="BC8E0AD0">
      <w:start w:val="1"/>
      <w:numFmt w:val="decimal"/>
      <w:lvlText w:val="%2）"/>
      <w:lvlJc w:val="left"/>
      <w:pPr>
        <w:ind w:left="1260" w:hanging="360"/>
      </w:pPr>
      <w:rPr>
        <w:rFonts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1B350479"/>
    <w:multiLevelType w:val="multilevel"/>
    <w:tmpl w:val="5986CDD8"/>
    <w:lvl w:ilvl="0">
      <w:start w:val="1"/>
      <w:numFmt w:val="decimal"/>
      <w:lvlText w:val="(%1)."/>
      <w:lvlJc w:val="left"/>
      <w:pPr>
        <w:ind w:left="425" w:hanging="425"/>
      </w:pPr>
      <w:rPr>
        <w:rFonts w:hint="default"/>
        <w:b/>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7F1F18D8"/>
    <w:multiLevelType w:val="hybridMultilevel"/>
    <w:tmpl w:val="9C8080C6"/>
    <w:lvl w:ilvl="0" w:tplc="EA30DF06">
      <w:start w:val="1"/>
      <w:numFmt w:val="decimal"/>
      <w:lvlText w:val="%1、"/>
      <w:lvlJc w:val="left"/>
      <w:pPr>
        <w:ind w:left="1290" w:hanging="810"/>
      </w:pPr>
      <w:rPr>
        <w:rFonts w:hint="default"/>
      </w:rPr>
    </w:lvl>
    <w:lvl w:ilvl="1" w:tplc="0409000F">
      <w:start w:val="1"/>
      <w:numFmt w:val="decimal"/>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6"/>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83B76"/>
    <w:rsid w:val="0003778B"/>
    <w:rsid w:val="000E7F6A"/>
    <w:rsid w:val="0017100D"/>
    <w:rsid w:val="001B6BB8"/>
    <w:rsid w:val="001D0FEE"/>
    <w:rsid w:val="001D1E7A"/>
    <w:rsid w:val="001D29A0"/>
    <w:rsid w:val="001E49D7"/>
    <w:rsid w:val="00217418"/>
    <w:rsid w:val="00276C9E"/>
    <w:rsid w:val="00285541"/>
    <w:rsid w:val="002A4078"/>
    <w:rsid w:val="002C5DF7"/>
    <w:rsid w:val="002C7204"/>
    <w:rsid w:val="003B0107"/>
    <w:rsid w:val="003C20D1"/>
    <w:rsid w:val="003C57E2"/>
    <w:rsid w:val="003F2931"/>
    <w:rsid w:val="004053A3"/>
    <w:rsid w:val="00406181"/>
    <w:rsid w:val="00417636"/>
    <w:rsid w:val="00462216"/>
    <w:rsid w:val="004628EE"/>
    <w:rsid w:val="00472596"/>
    <w:rsid w:val="004856A5"/>
    <w:rsid w:val="004956C4"/>
    <w:rsid w:val="004C57B2"/>
    <w:rsid w:val="00553241"/>
    <w:rsid w:val="005C68C6"/>
    <w:rsid w:val="005D171A"/>
    <w:rsid w:val="00617026"/>
    <w:rsid w:val="00633ADA"/>
    <w:rsid w:val="00655B9D"/>
    <w:rsid w:val="006A705D"/>
    <w:rsid w:val="00740D6C"/>
    <w:rsid w:val="00790CD2"/>
    <w:rsid w:val="007D69E2"/>
    <w:rsid w:val="00824046"/>
    <w:rsid w:val="00853EBA"/>
    <w:rsid w:val="0088225E"/>
    <w:rsid w:val="008C31D7"/>
    <w:rsid w:val="008D1D44"/>
    <w:rsid w:val="008E1383"/>
    <w:rsid w:val="00901F1C"/>
    <w:rsid w:val="00905E2B"/>
    <w:rsid w:val="009636F9"/>
    <w:rsid w:val="00963976"/>
    <w:rsid w:val="00984BC1"/>
    <w:rsid w:val="009A7CCC"/>
    <w:rsid w:val="00A438F8"/>
    <w:rsid w:val="00AD1462"/>
    <w:rsid w:val="00B27D1C"/>
    <w:rsid w:val="00B45B0B"/>
    <w:rsid w:val="00B55AD1"/>
    <w:rsid w:val="00B57A19"/>
    <w:rsid w:val="00B63B67"/>
    <w:rsid w:val="00B67ED8"/>
    <w:rsid w:val="00B8016B"/>
    <w:rsid w:val="00B81DF4"/>
    <w:rsid w:val="00B97933"/>
    <w:rsid w:val="00BA6EC8"/>
    <w:rsid w:val="00BC2576"/>
    <w:rsid w:val="00C321E7"/>
    <w:rsid w:val="00C3263F"/>
    <w:rsid w:val="00C3666C"/>
    <w:rsid w:val="00C50FE1"/>
    <w:rsid w:val="00CC3FA3"/>
    <w:rsid w:val="00D0519F"/>
    <w:rsid w:val="00D61A18"/>
    <w:rsid w:val="00DE24A0"/>
    <w:rsid w:val="00E52EB6"/>
    <w:rsid w:val="00E7029C"/>
    <w:rsid w:val="00E83B76"/>
    <w:rsid w:val="00EC11C6"/>
    <w:rsid w:val="00F11F60"/>
    <w:rsid w:val="00F34D48"/>
    <w:rsid w:val="00F47B13"/>
    <w:rsid w:val="00F57A8A"/>
    <w:rsid w:val="00F804A6"/>
    <w:rsid w:val="00FB2E2F"/>
    <w:rsid w:val="00FE4B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DB9C2"/>
  <w15:docId w15:val="{3544BA95-5C6D-44C1-835C-A7E8E7418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0CD2"/>
    <w:pPr>
      <w:widowControl w:val="0"/>
      <w:jc w:val="both"/>
    </w:pPr>
  </w:style>
  <w:style w:type="paragraph" w:styleId="2">
    <w:name w:val="heading 2"/>
    <w:basedOn w:val="a"/>
    <w:next w:val="a"/>
    <w:link w:val="20"/>
    <w:qFormat/>
    <w:rsid w:val="00B45B0B"/>
    <w:pPr>
      <w:keepNext/>
      <w:widowControl/>
      <w:spacing w:before="240" w:after="60"/>
      <w:jc w:val="left"/>
      <w:outlineLvl w:val="1"/>
    </w:pPr>
    <w:rPr>
      <w:rFonts w:ascii="Arial" w:eastAsia="宋体" w:hAnsi="Arial" w:cs="Arial"/>
      <w:b/>
      <w:bCs/>
      <w:i/>
      <w:i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3B7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963976"/>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963976"/>
    <w:rPr>
      <w:sz w:val="18"/>
      <w:szCs w:val="18"/>
    </w:rPr>
  </w:style>
  <w:style w:type="paragraph" w:styleId="a6">
    <w:name w:val="footer"/>
    <w:basedOn w:val="a"/>
    <w:link w:val="a7"/>
    <w:uiPriority w:val="99"/>
    <w:unhideWhenUsed/>
    <w:rsid w:val="00963976"/>
    <w:pPr>
      <w:tabs>
        <w:tab w:val="center" w:pos="4153"/>
        <w:tab w:val="right" w:pos="8306"/>
      </w:tabs>
      <w:snapToGrid w:val="0"/>
      <w:jc w:val="left"/>
    </w:pPr>
    <w:rPr>
      <w:sz w:val="18"/>
      <w:szCs w:val="18"/>
    </w:rPr>
  </w:style>
  <w:style w:type="character" w:customStyle="1" w:styleId="a7">
    <w:name w:val="页脚 字符"/>
    <w:basedOn w:val="a0"/>
    <w:link w:val="a6"/>
    <w:uiPriority w:val="99"/>
    <w:rsid w:val="00963976"/>
    <w:rPr>
      <w:sz w:val="18"/>
      <w:szCs w:val="18"/>
    </w:rPr>
  </w:style>
  <w:style w:type="paragraph" w:styleId="a8">
    <w:name w:val="Normal Indent"/>
    <w:aliases w:val="正文缩进1,正文（首行缩进两字）,表正文,正文非缩进,标题4,特点,正文缩进 Char,正文缩进 Char1 Char,正文（首行缩进两字） Char Char,表正文 Char Char,正文非缩进 Char Char,特点 Char Char,四号 Char Char,标题4 Char Char,段1 Char Char,缩进 Char Char,ALT+Z Char Char,正文编号 Char Char,标题四 Char Char,正文双线 Char Char,表,图号"/>
    <w:basedOn w:val="a"/>
    <w:link w:val="a9"/>
    <w:qFormat/>
    <w:rsid w:val="00F47B13"/>
    <w:pPr>
      <w:keepLines/>
      <w:widowControl/>
      <w:suppressLineNumber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uppressAutoHyphens/>
      <w:ind w:left="851"/>
    </w:pPr>
    <w:rPr>
      <w:rFonts w:ascii="Times New Roman" w:eastAsia="宋体" w:hAnsi="Times New Roman" w:cs="Times New Roman"/>
      <w:kern w:val="0"/>
      <w:sz w:val="24"/>
      <w:szCs w:val="20"/>
      <w:lang w:val="en-GB" w:eastAsia="en-US"/>
    </w:rPr>
  </w:style>
  <w:style w:type="character" w:customStyle="1" w:styleId="a9">
    <w:name w:val="正文缩进 字符"/>
    <w:aliases w:val="正文缩进1 字符,正文（首行缩进两字） 字符,表正文 字符,正文非缩进 字符,标题4 字符,特点 字符,正文缩进 Char 字符,正文缩进 Char1 Char 字符,正文（首行缩进两字） Char Char 字符,表正文 Char Char 字符,正文非缩进 Char Char 字符,特点 Char Char 字符,四号 Char Char 字符,标题4 Char Char 字符,段1 Char Char 字符,缩进 Char Char 字符,ALT+Z Char Char 字符"/>
    <w:link w:val="a8"/>
    <w:rsid w:val="00F47B13"/>
    <w:rPr>
      <w:rFonts w:ascii="Times New Roman" w:eastAsia="宋体" w:hAnsi="Times New Roman" w:cs="Times New Roman"/>
      <w:kern w:val="0"/>
      <w:sz w:val="24"/>
      <w:szCs w:val="20"/>
      <w:lang w:val="en-GB" w:eastAsia="en-US"/>
    </w:rPr>
  </w:style>
  <w:style w:type="character" w:customStyle="1" w:styleId="20">
    <w:name w:val="标题 2 字符"/>
    <w:basedOn w:val="a0"/>
    <w:link w:val="2"/>
    <w:rsid w:val="00B45B0B"/>
    <w:rPr>
      <w:rFonts w:ascii="Arial" w:eastAsia="宋体" w:hAnsi="Arial" w:cs="Arial"/>
      <w:b/>
      <w:bCs/>
      <w:i/>
      <w:iCs/>
      <w:kern w:val="0"/>
      <w:sz w:val="28"/>
      <w:szCs w:val="28"/>
    </w:rPr>
  </w:style>
  <w:style w:type="paragraph" w:styleId="aa">
    <w:name w:val="Plain Text"/>
    <w:basedOn w:val="a"/>
    <w:link w:val="ab"/>
    <w:uiPriority w:val="99"/>
    <w:unhideWhenUsed/>
    <w:rsid w:val="00B45B0B"/>
    <w:pPr>
      <w:jc w:val="left"/>
    </w:pPr>
    <w:rPr>
      <w:rFonts w:ascii="Calibri" w:eastAsia="宋体" w:hAnsi="Courier New" w:cs="Courier New"/>
      <w:szCs w:val="21"/>
    </w:rPr>
  </w:style>
  <w:style w:type="character" w:customStyle="1" w:styleId="ab">
    <w:name w:val="纯文本 字符"/>
    <w:basedOn w:val="a0"/>
    <w:link w:val="aa"/>
    <w:uiPriority w:val="99"/>
    <w:rsid w:val="00B45B0B"/>
    <w:rPr>
      <w:rFonts w:ascii="Calibri" w:eastAsia="宋体" w:hAnsi="Courier New" w:cs="Courier New"/>
      <w:szCs w:val="21"/>
    </w:rPr>
  </w:style>
  <w:style w:type="paragraph" w:customStyle="1" w:styleId="ac">
    <w:name w:val="缺省文本"/>
    <w:basedOn w:val="a"/>
    <w:rsid w:val="004C57B2"/>
    <w:pPr>
      <w:suppressAutoHyphens/>
      <w:autoSpaceDE w:val="0"/>
      <w:jc w:val="left"/>
    </w:pPr>
    <w:rPr>
      <w:rFonts w:ascii="Calibri" w:eastAsia="宋体" w:hAnsi="Calibri" w:cs="Calibri"/>
      <w:kern w:val="1"/>
      <w:sz w:val="24"/>
      <w:szCs w:val="24"/>
      <w:lang w:eastAsia="ar-SA"/>
    </w:rPr>
  </w:style>
  <w:style w:type="character" w:styleId="ad">
    <w:name w:val="annotation reference"/>
    <w:unhideWhenUsed/>
    <w:rsid w:val="00D0519F"/>
    <w:rPr>
      <w:sz w:val="21"/>
      <w:szCs w:val="21"/>
    </w:rPr>
  </w:style>
  <w:style w:type="paragraph" w:styleId="ae">
    <w:name w:val="annotation text"/>
    <w:basedOn w:val="a"/>
    <w:link w:val="af"/>
    <w:unhideWhenUsed/>
    <w:rsid w:val="00D0519F"/>
    <w:pPr>
      <w:jc w:val="left"/>
    </w:pPr>
    <w:rPr>
      <w:rFonts w:ascii="Calibri" w:eastAsia="宋体" w:hAnsi="Calibri" w:cs="Calibri"/>
      <w:szCs w:val="24"/>
      <w:lang w:val="x-none" w:eastAsia="x-none"/>
    </w:rPr>
  </w:style>
  <w:style w:type="character" w:customStyle="1" w:styleId="af">
    <w:name w:val="批注文字 字符"/>
    <w:basedOn w:val="a0"/>
    <w:link w:val="ae"/>
    <w:rsid w:val="00D0519F"/>
    <w:rPr>
      <w:rFonts w:ascii="Calibri" w:eastAsia="宋体" w:hAnsi="Calibri" w:cs="Calibri"/>
      <w:szCs w:val="24"/>
      <w:lang w:val="x-none" w:eastAsia="x-none"/>
    </w:rPr>
  </w:style>
  <w:style w:type="paragraph" w:styleId="af0">
    <w:name w:val="Balloon Text"/>
    <w:basedOn w:val="a"/>
    <w:link w:val="af1"/>
    <w:uiPriority w:val="99"/>
    <w:semiHidden/>
    <w:unhideWhenUsed/>
    <w:rsid w:val="00D0519F"/>
    <w:rPr>
      <w:sz w:val="18"/>
      <w:szCs w:val="18"/>
    </w:rPr>
  </w:style>
  <w:style w:type="character" w:customStyle="1" w:styleId="af1">
    <w:name w:val="批注框文本 字符"/>
    <w:basedOn w:val="a0"/>
    <w:link w:val="af0"/>
    <w:uiPriority w:val="99"/>
    <w:semiHidden/>
    <w:rsid w:val="00D0519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808106">
      <w:bodyDiv w:val="1"/>
      <w:marLeft w:val="0"/>
      <w:marRight w:val="0"/>
      <w:marTop w:val="0"/>
      <w:marBottom w:val="0"/>
      <w:divBdr>
        <w:top w:val="none" w:sz="0" w:space="0" w:color="auto"/>
        <w:left w:val="none" w:sz="0" w:space="0" w:color="auto"/>
        <w:bottom w:val="none" w:sz="0" w:space="0" w:color="auto"/>
        <w:right w:val="none" w:sz="0" w:space="0" w:color="auto"/>
      </w:divBdr>
    </w:div>
    <w:div w:id="73439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2</Pages>
  <Words>231</Words>
  <Characters>1323</Characters>
  <Application>Microsoft Office Word</Application>
  <DocSecurity>0</DocSecurity>
  <Lines>11</Lines>
  <Paragraphs>3</Paragraphs>
  <ScaleCrop>false</ScaleCrop>
  <Company>Digitalchina</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刘宇</dc:creator>
  <cp:keywords/>
  <dc:description/>
  <cp:lastModifiedBy>曾 成勇</cp:lastModifiedBy>
  <cp:revision>47</cp:revision>
  <dcterms:created xsi:type="dcterms:W3CDTF">2016-04-18T06:55:00Z</dcterms:created>
  <dcterms:modified xsi:type="dcterms:W3CDTF">2020-04-13T09:53:00Z</dcterms:modified>
</cp:coreProperties>
</file>